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803" w:rsidRPr="00B45803" w:rsidRDefault="00B45803" w:rsidP="00B45803">
      <w:pPr>
        <w:shd w:val="clear" w:color="auto" w:fill="FFFFFF"/>
        <w:spacing w:after="600" w:line="240" w:lineRule="auto"/>
        <w:jc w:val="center"/>
        <w:outlineLvl w:val="0"/>
        <w:rPr>
          <w:rFonts w:ascii="Times New Roman" w:eastAsia="Times New Roman" w:hAnsi="Times New Roman" w:cs="Times New Roman"/>
          <w:b/>
          <w:color w:val="000000"/>
          <w:kern w:val="36"/>
          <w:sz w:val="28"/>
          <w:szCs w:val="28"/>
          <w:lang w:eastAsia="ru-RU"/>
        </w:rPr>
      </w:pPr>
      <w:r w:rsidRPr="00B45803">
        <w:rPr>
          <w:rFonts w:ascii="Times New Roman" w:eastAsia="Times New Roman" w:hAnsi="Times New Roman" w:cs="Times New Roman"/>
          <w:b/>
          <w:color w:val="000000"/>
          <w:kern w:val="36"/>
          <w:sz w:val="28"/>
          <w:szCs w:val="28"/>
          <w:lang w:eastAsia="ru-RU"/>
        </w:rPr>
        <w:t>Доклад с руководством по соблюдению обязательных требований, а также разъяснение новых требований нормативных правовых актов за 1 кв. 2018г.</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Доклад с руководством по соблюдению обязательных требований подготовлен в рамках реализации пункта 2.1.6 раздела «Внедрение системы комплексной профилактики нарушений обязательных требований» сводного Плана приоритетного проекта «Реформа контрольной и надзорной деятельности».</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защиты трудовых прав и свобод граждан, включая право на безопасные условия </w:t>
      </w:r>
      <w:proofErr w:type="gramStart"/>
      <w:r w:rsidRPr="00B45803">
        <w:rPr>
          <w:rFonts w:ascii="Times New Roman" w:eastAsia="Times New Roman" w:hAnsi="Times New Roman" w:cs="Times New Roman"/>
          <w:color w:val="2E2D2D"/>
          <w:sz w:val="28"/>
          <w:szCs w:val="28"/>
          <w:lang w:eastAsia="ru-RU"/>
        </w:rPr>
        <w:t>труда;   </w:t>
      </w:r>
      <w:bookmarkStart w:id="0" w:name="dst101964"/>
      <w:bookmarkEnd w:id="0"/>
      <w:proofErr w:type="gramEnd"/>
      <w:r w:rsidRPr="00B45803">
        <w:rPr>
          <w:rFonts w:ascii="Times New Roman" w:eastAsia="Times New Roman" w:hAnsi="Times New Roman" w:cs="Times New Roman"/>
          <w:color w:val="2E2D2D"/>
          <w:sz w:val="28"/>
          <w:szCs w:val="28"/>
          <w:lang w:eastAsia="ru-RU"/>
        </w:rPr>
        <w:t>обеспечению соблюдения работодателями трудового законодательства и иных нормативных правовых актов, содержащих нормы трудового права.</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i/>
          <w:iCs/>
          <w:color w:val="2E2D2D"/>
          <w:sz w:val="28"/>
          <w:szCs w:val="28"/>
          <w:bdr w:val="none" w:sz="0" w:space="0" w:color="auto" w:frame="1"/>
          <w:lang w:eastAsia="ru-RU"/>
        </w:rPr>
        <w:t>Разъяснение неоднозначных или не ясных для подконтрольных лиц обязательных требований</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lastRenderedPageBreak/>
        <w:t>Федеральной службой по труду и занятости разъясняются неоднозначные или не ясные для подконтрольных лиц обязательные требования.</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Так, например, </w:t>
      </w:r>
      <w:proofErr w:type="spellStart"/>
      <w:r w:rsidRPr="00B45803">
        <w:rPr>
          <w:rFonts w:ascii="Times New Roman" w:eastAsia="Times New Roman" w:hAnsi="Times New Roman" w:cs="Times New Roman"/>
          <w:color w:val="2E2D2D"/>
          <w:sz w:val="28"/>
          <w:szCs w:val="28"/>
          <w:lang w:eastAsia="ru-RU"/>
        </w:rPr>
        <w:t>Рострудом</w:t>
      </w:r>
      <w:proofErr w:type="spellEnd"/>
      <w:r w:rsidRPr="00B45803">
        <w:rPr>
          <w:rFonts w:ascii="Times New Roman" w:eastAsia="Times New Roman" w:hAnsi="Times New Roman" w:cs="Times New Roman"/>
          <w:color w:val="2E2D2D"/>
          <w:sz w:val="28"/>
          <w:szCs w:val="28"/>
          <w:lang w:eastAsia="ru-RU"/>
        </w:rPr>
        <w:t xml:space="preserve"> предоставлены разъяснения по вопросу проведения внеплановой специальной оценки условий труда при смене одного помещения на другое, по вопросам сокращения численности или штата работников, в том числе в части запрета на расторжение трудового договора по основанию сокращения численности или штата с женщиной, имеющей ребенка в возрасте до трех лет, с одинокой матерью, воспитывающей ребенка-инвалида в возрасте до восемнадцати лет или малолетнего ребенка - ребенка в возрасте до четырнадцати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 в трудовых отношениях (ст. 261 Трудового кодекса Российской Федерации).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i/>
          <w:iCs/>
          <w:color w:val="2E2D2D"/>
          <w:sz w:val="28"/>
          <w:szCs w:val="28"/>
          <w:bdr w:val="none" w:sz="0" w:space="0" w:color="auto" w:frame="1"/>
          <w:lang w:eastAsia="ru-RU"/>
        </w:rPr>
        <w:t>Разъяснение новых требований нормативно-правовых актов</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1) </w:t>
      </w:r>
      <w:proofErr w:type="gramStart"/>
      <w:r w:rsidRPr="00B45803">
        <w:rPr>
          <w:rFonts w:ascii="Times New Roman" w:eastAsia="Times New Roman" w:hAnsi="Times New Roman" w:cs="Times New Roman"/>
          <w:color w:val="2E2D2D"/>
          <w:sz w:val="28"/>
          <w:szCs w:val="28"/>
          <w:lang w:eastAsia="ru-RU"/>
        </w:rPr>
        <w:t>С</w:t>
      </w:r>
      <w:proofErr w:type="gramEnd"/>
      <w:r w:rsidRPr="00B45803">
        <w:rPr>
          <w:rFonts w:ascii="Times New Roman" w:eastAsia="Times New Roman" w:hAnsi="Times New Roman" w:cs="Times New Roman"/>
          <w:color w:val="2E2D2D"/>
          <w:sz w:val="28"/>
          <w:szCs w:val="28"/>
          <w:lang w:eastAsia="ru-RU"/>
        </w:rPr>
        <w:t xml:space="preserve"> 21.04.2017 г. вступил в силу приказ Министерства труда и социальной защиты Российской Федерации от 02.11.2016 № 604н «Об утверждении Правил по охране труда при добыче (вылове), переработке водных биоресурсов и производстве отдельных видов продукции из водных биоресурсов».</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Правила по охране труда при добыче (вылове), переработке водных биоресурсов и производстве отдельных видов продукции из водных биоресурсов устанавливают государственные нормативные требования охраны труда при организации и проведении основных процессов и работ, связанных с добычей (выловом) и переработкой водных биоресурсов морскими рыбопромысловыми судами, судами внутренних водоемов и прибрежного плавания, а также производством отдельных видов рыбной и иной продукции из водных биоресурсов на береговых объектах </w:t>
      </w:r>
      <w:proofErr w:type="spellStart"/>
      <w:r w:rsidRPr="00B45803">
        <w:rPr>
          <w:rFonts w:ascii="Times New Roman" w:eastAsia="Times New Roman" w:hAnsi="Times New Roman" w:cs="Times New Roman"/>
          <w:color w:val="2E2D2D"/>
          <w:sz w:val="28"/>
          <w:szCs w:val="28"/>
          <w:lang w:eastAsia="ru-RU"/>
        </w:rPr>
        <w:t>рыбоперерабатывающей</w:t>
      </w:r>
      <w:proofErr w:type="spellEnd"/>
      <w:r w:rsidRPr="00B45803">
        <w:rPr>
          <w:rFonts w:ascii="Times New Roman" w:eastAsia="Times New Roman" w:hAnsi="Times New Roman" w:cs="Times New Roman"/>
          <w:color w:val="2E2D2D"/>
          <w:sz w:val="28"/>
          <w:szCs w:val="28"/>
          <w:lang w:eastAsia="ru-RU"/>
        </w:rPr>
        <w:t xml:space="preserve"> инфраструктуры.</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Правила содержат требования охраны труда, предъявляемые к организации выполнения работ, к производственным территориям (помещениям, участкам производства работ), размещению технологического оборудования и организации рабочих мест, к выполнению работ (осуществлению производственных процессов), к процессам переработки водных биоресурсов и производства отдельных видов продукции из водных биоресурсов.</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Требования Правил обязательны для исполнения работодателями (судовладельцами) - юридическими лицами независимо от их организационно-правовых форм и физическими лицами (за исключением работодателей - физических лиц, не являющихся индивидуальными предпринимателями), осуществляющими деятельность, связанную с добычей (выловом), переработкой водных биоресурсов и производством отдельных видов продукции из водных биоресурсов.</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lastRenderedPageBreak/>
        <w:t xml:space="preserve">2) </w:t>
      </w:r>
      <w:proofErr w:type="gramStart"/>
      <w:r w:rsidRPr="00B45803">
        <w:rPr>
          <w:rFonts w:ascii="Times New Roman" w:eastAsia="Times New Roman" w:hAnsi="Times New Roman" w:cs="Times New Roman"/>
          <w:color w:val="2E2D2D"/>
          <w:sz w:val="28"/>
          <w:szCs w:val="28"/>
          <w:lang w:eastAsia="ru-RU"/>
        </w:rPr>
        <w:t>С</w:t>
      </w:r>
      <w:proofErr w:type="gramEnd"/>
      <w:r w:rsidRPr="00B45803">
        <w:rPr>
          <w:rFonts w:ascii="Times New Roman" w:eastAsia="Times New Roman" w:hAnsi="Times New Roman" w:cs="Times New Roman"/>
          <w:color w:val="2E2D2D"/>
          <w:sz w:val="28"/>
          <w:szCs w:val="28"/>
          <w:lang w:eastAsia="ru-RU"/>
        </w:rPr>
        <w:t xml:space="preserve"> 27.08.2017 вступает в силу приказ Министерства труда и социальной защиты Российской Федерации от 19 апреля 2017 г. № 371н «Об утверждении Правил по охране труда при использовании отдельных видов химических веществ и материалов».</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Правила по охране труда при использовании отдельных видов химических веществ и материалов (далее - Правила) устанавливают государственные нормативные требования охраны труда, предъявляемые к организации и осуществлению основных производственных процессов и работ, связанных с использованием неорганических кислот и щелочей, ртути, пластмасс, эпоксидных смол и материалов на их основе, канцерогенных и вызывающих мутацию химических веществ, бензола, жидкого азота (далее - использование химических веществ).</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Требования Правил обязательны для исполнения работодателями - юридическими лицами независимо от их организационно-правовых форм и физическими лицами (за исключением работодателей - физических лиц, не являющихся индивидуальными предпринимателями), при организации и осуществлении ими производственных процессов и работ, связанных с использованием химических веществ.</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Разрабатывая внутренние инструкции по охране труда, работодатели должны будут опираться на требования техдокументации изготовителя производственного оборудования и на новые Правила.</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Рекомендуем до 27.08.2017 проверить, соответствуют ли локальные нормативные акты в сфере охраны труда требованиям Правил.</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3) </w:t>
      </w:r>
      <w:proofErr w:type="gramStart"/>
      <w:r w:rsidRPr="00B45803">
        <w:rPr>
          <w:rFonts w:ascii="Times New Roman" w:eastAsia="Times New Roman" w:hAnsi="Times New Roman" w:cs="Times New Roman"/>
          <w:color w:val="2E2D2D"/>
          <w:sz w:val="28"/>
          <w:szCs w:val="28"/>
          <w:lang w:eastAsia="ru-RU"/>
        </w:rPr>
        <w:t>С</w:t>
      </w:r>
      <w:proofErr w:type="gramEnd"/>
      <w:r w:rsidRPr="00B45803">
        <w:rPr>
          <w:rFonts w:ascii="Times New Roman" w:eastAsia="Times New Roman" w:hAnsi="Times New Roman" w:cs="Times New Roman"/>
          <w:color w:val="2E2D2D"/>
          <w:sz w:val="28"/>
          <w:szCs w:val="28"/>
          <w:lang w:eastAsia="ru-RU"/>
        </w:rPr>
        <w:t xml:space="preserve"> 1.11.2017 вступает в силу приказ Министерства труда и социальной защиты Российской Федерации от 31 мая 2017 г. № 466н «Об утверждении Правил по охране труда при проведении работ в легкой промышленности».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Правила по охране труда в легкой промышленности (далее - Правила) устанавливают государственные нормативные требования охраны труда при организации и проведении основных процессов и работ, связанных с производством и отделкой тканей и трикотажа, производством нетканых материалов, прядением, производством текстильных изделий и одежды, обработкой кожевенного сырья, дублением и отделкой кожи, выделкой и крашением меха, производством одежды, обуви и других изделий из кожи и меха.</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Требования Правил обязательны для исполнения работодателями, являющимися индивидуальными предпринимателями, а также работодателями - юридическими лицами независимо от их организационно-правовой формы, при организации и осуществлении ими работ в легкой промышленности.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Разрабатывая внутренние инструкции по охране труда, работодатели должны будут опираться на требования техдокументации изготовителя производственного оборудования и на новые Правила.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Рекомендуем до ноября проверить, соответствуют ли локальные нормативные акты в сфере охраны труда требованиям Правил.</w:t>
      </w:r>
    </w:p>
    <w:p w:rsidR="00B45803" w:rsidRPr="00B45803" w:rsidRDefault="00B45803" w:rsidP="00B45803">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Устаревшие, дублирующие и избыточные обязательные требования</w:t>
      </w:r>
    </w:p>
    <w:p w:rsidR="00B45803" w:rsidRPr="00B45803" w:rsidRDefault="00B45803" w:rsidP="00B45803">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lastRenderedPageBreak/>
        <w:t>Предложения по совершенствованию законодательства о труде</w:t>
      </w:r>
      <w:r w:rsidRPr="00B45803">
        <w:rPr>
          <w:rFonts w:ascii="Times New Roman" w:eastAsia="Times New Roman" w:hAnsi="Times New Roman" w:cs="Times New Roman"/>
          <w:color w:val="2E2D2D"/>
          <w:sz w:val="28"/>
          <w:szCs w:val="28"/>
          <w:lang w:eastAsia="ru-RU"/>
        </w:rPr>
        <w:t> </w:t>
      </w:r>
      <w:r w:rsidRPr="00B45803">
        <w:rPr>
          <w:rFonts w:ascii="Times New Roman" w:eastAsia="Times New Roman" w:hAnsi="Times New Roman" w:cs="Times New Roman"/>
          <w:b/>
          <w:bCs/>
          <w:color w:val="2E2D2D"/>
          <w:sz w:val="28"/>
          <w:szCs w:val="28"/>
          <w:bdr w:val="none" w:sz="0" w:space="0" w:color="auto" w:frame="1"/>
          <w:lang w:eastAsia="ru-RU"/>
        </w:rPr>
        <w:t>и охране труда, в том числе пробелы и противоречия</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В рамках работы по систематизации, сокращению количества и актуализации обязательных требований в апреле 2017 года при Минюсте России создана Экспертная рабочая группа по совершенствованию контрольно-надзорной деятельности государственного надзора и контроля за соблюдением работодателями трудового законодательства и иных нормативных правовых актов, содержащих нормы трудового права, в том числе требований в сфере охраны труда, в которую входят должностные лица </w:t>
      </w:r>
      <w:proofErr w:type="spellStart"/>
      <w:r w:rsidRPr="00B45803">
        <w:rPr>
          <w:rFonts w:ascii="Times New Roman" w:eastAsia="Times New Roman" w:hAnsi="Times New Roman" w:cs="Times New Roman"/>
          <w:color w:val="2E2D2D"/>
          <w:sz w:val="28"/>
          <w:szCs w:val="28"/>
          <w:lang w:eastAsia="ru-RU"/>
        </w:rPr>
        <w:t>Роструда</w:t>
      </w:r>
      <w:proofErr w:type="spellEnd"/>
      <w:r w:rsidRPr="00B45803">
        <w:rPr>
          <w:rFonts w:ascii="Times New Roman" w:eastAsia="Times New Roman" w:hAnsi="Times New Roman" w:cs="Times New Roman"/>
          <w:color w:val="2E2D2D"/>
          <w:sz w:val="28"/>
          <w:szCs w:val="28"/>
          <w:lang w:eastAsia="ru-RU"/>
        </w:rPr>
        <w:t>.</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Так же продолжает работу Рабочая группа по выявлению устаревших и (или) избыточных обязательных требований трудового законодательства, проверка которых осуществляется в ходе надзорных мероприятий, и пересмотру подзаконных нормативных правовых актов в целях исключения устаревших и (или) избыточных обязательных требований трудового законодательства, созданная при Минтруде России, в которую также входят должностные лица </w:t>
      </w:r>
      <w:proofErr w:type="spellStart"/>
      <w:r w:rsidRPr="00B45803">
        <w:rPr>
          <w:rFonts w:ascii="Times New Roman" w:eastAsia="Times New Roman" w:hAnsi="Times New Roman" w:cs="Times New Roman"/>
          <w:color w:val="2E2D2D"/>
          <w:sz w:val="28"/>
          <w:szCs w:val="28"/>
          <w:lang w:eastAsia="ru-RU"/>
        </w:rPr>
        <w:t>Роструда</w:t>
      </w:r>
      <w:proofErr w:type="spellEnd"/>
      <w:r w:rsidRPr="00B45803">
        <w:rPr>
          <w:rFonts w:ascii="Times New Roman" w:eastAsia="Times New Roman" w:hAnsi="Times New Roman" w:cs="Times New Roman"/>
          <w:color w:val="2E2D2D"/>
          <w:sz w:val="28"/>
          <w:szCs w:val="28"/>
          <w:lang w:eastAsia="ru-RU"/>
        </w:rPr>
        <w:t>.</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В рамках деятельности указанных рабочих групп Минтрудом России подготовлен проект Федерального закона «О признании не действующими на территории Российской Федерации некоторых указов Президиума Верховного Совета СССР по вопросам регулирования трудовых отношений», указанным проектом предлагается признание недействующими на территории Российской Федерации следующих документов:</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1) Указ Президиума Верховного Совета СССР от 2 октября 1961 г. «О порядке рассмотрения споров о возмещении предприятиями, учреждениями, организациями ущерба, причинённого рабочим и служащим увечья либо иным повреждением здоровья, связанным с их работой».</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2) Указ Президиума Верховного Совета СССР от 27 сентября 1968 г. «Об испытании при приеме на работу работников научно-исследовательских, проектных, проектно-конструкторских, технологических организаций и научно-исследовательских подразделений высших учебных заведений».</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3) Указ Президиума Верховного Совета СССР от 27 сентября 1971 г. № 2151-VIII «Об утверждении Положения о правах профсоюзного комитета предприятия, учреждения, организации».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4) Указ Президиума Верховного Совета СССР от 24 сентября 1974 г. № 311-IX «Об условиях труда временных рабочих и служащих».</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Также Минтрудом России совместно с </w:t>
      </w:r>
      <w:proofErr w:type="spellStart"/>
      <w:r w:rsidRPr="00B45803">
        <w:rPr>
          <w:rFonts w:ascii="Times New Roman" w:eastAsia="Times New Roman" w:hAnsi="Times New Roman" w:cs="Times New Roman"/>
          <w:color w:val="2E2D2D"/>
          <w:sz w:val="28"/>
          <w:szCs w:val="28"/>
          <w:lang w:eastAsia="ru-RU"/>
        </w:rPr>
        <w:t>Рострудом</w:t>
      </w:r>
      <w:proofErr w:type="spellEnd"/>
      <w:r w:rsidRPr="00B45803">
        <w:rPr>
          <w:rFonts w:ascii="Times New Roman" w:eastAsia="Times New Roman" w:hAnsi="Times New Roman" w:cs="Times New Roman"/>
          <w:color w:val="2E2D2D"/>
          <w:sz w:val="28"/>
          <w:szCs w:val="28"/>
          <w:lang w:eastAsia="ru-RU"/>
        </w:rPr>
        <w:t xml:space="preserve"> подготовлен проект Плана мероприятий («Дорожная карта») по отмене и актуализации обязательных требований в сфере соблюдения трудового законодательства и иных нормативных правовых актов, содержащих нормы трудового права.</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Указанным проектом предусмотрена в том числе разработка и внесение в Правительство Российской Федерации законопроекта «О внесении изменений в отдельные законодательные акты Российской Федерации (в части исключения дублирования полномочий федеральных органов исполнительной власти в сфере охраны труда)», в целях исключения избыточных требований </w:t>
      </w:r>
      <w:r w:rsidRPr="00B45803">
        <w:rPr>
          <w:rFonts w:ascii="Times New Roman" w:eastAsia="Times New Roman" w:hAnsi="Times New Roman" w:cs="Times New Roman"/>
          <w:color w:val="2E2D2D"/>
          <w:sz w:val="28"/>
          <w:szCs w:val="28"/>
          <w:lang w:eastAsia="ru-RU"/>
        </w:rPr>
        <w:lastRenderedPageBreak/>
        <w:t>планируется подготовка предложений по внесению изменений в статью 58 Трудового кодекса Российской Федерации, также предусмотрены иные мероприятия по изменению и актуализации обязательных требований.</w:t>
      </w:r>
    </w:p>
    <w:p w:rsidR="00B45803" w:rsidRPr="00B45803" w:rsidRDefault="00B45803" w:rsidP="00B45803">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Информация о принятых решениях Конституционного Суда</w:t>
      </w:r>
    </w:p>
    <w:p w:rsidR="00B45803" w:rsidRPr="00B45803" w:rsidRDefault="00B45803" w:rsidP="00B45803">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Российской Федерации,</w:t>
      </w:r>
    </w:p>
    <w:p w:rsidR="00B45803" w:rsidRPr="00B45803" w:rsidRDefault="00B45803" w:rsidP="00B45803">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практика судов общей юрисдикции и арбитражных судов</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При анализе практики применения во втором квартале 2017 года судебными органами трудового законодательства и иных нормативных правовых актов, содержащих нормы трудового права, целесообразно обратить внимание на следующие выводы Верховного Суда Российской Федерации: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Ø применение к выплате за работу в выходные и нерабочие праздничные дни (компенсационной выплате) иных выплат компенсационного и стимулирующего характера положениями статьи 153 Трудового кодекса Российской Федерации, подлежащими применению во взаимосвязи с частью четвёртой статьи 129 Трудового кодекса Российской Федерации, не предусмотрено;</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Ø работодатель обязан отстранить от работы (не допускать к работе) педагогического работника в случае получения от правоохранительных органов сведений о том, что данный работник подвергается уголовному преследованию за умышленные тяжкие и особо тяжкие преступления, в том числе за умышленные преступления категорий, не названных в абзацах третьем и четвёртом части второй статьи 331 Трудового кодекса Российской Федерации, на весь период производства по уголовному делу до его прекращения либо до вступления в силу приговора суда;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Ø в случае предоставления работнику учебного отпуска с сохранением среднего заработка в период работы, дающей право на досрочное назначение страховой пенсии по старости и включаемой в специальный стаж, периоды таких отпусков также подлежат включению в специальный стаж, дающий право на досрочное назначение страховой пенсии по старости.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Анализ обращений граждан и организаций по вопросам наличия пробелов и противоречий действующего законодательства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i/>
          <w:iCs/>
          <w:color w:val="2E2D2D"/>
          <w:sz w:val="28"/>
          <w:szCs w:val="28"/>
          <w:bdr w:val="none" w:sz="0" w:space="0" w:color="auto" w:frame="1"/>
          <w:lang w:eastAsia="ru-RU"/>
        </w:rPr>
        <w:t>Анализ обращений физических и юридических лиц выявил некоторые вопросы, требующие урегулирования, а именно:</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Срок передачи работнику подписанного трудового договора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Вопрос:</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В какой срок работодатель при приеме на работу обязан передать работнику второй экземпляр трудового договора?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Ответ:</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Нормами действующего законодательства не установлен предельный срок, до истечения которого работодатель обязан выдать работнику его экземпляр трудового договора. По нашему мнению, фактически при подписании трудового договора работодатель должен передать работнику экземпляр трудового договора.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lastRenderedPageBreak/>
        <w:t>Согласно ч. 1 ст. 67 ТК РФ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Является ли вакантной должность, по которой работник находится в отпуске по беременности и родам</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Вопрос:</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Обязан ли работодатель при увольнении в связи с сокращением численности или штата организации предлагать работникам, чьи должности сокращаются, временную вакантную должность работника, который находится в отпуске по беременности и родам?</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Ответ:</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По нашему мнению, при увольнении в связи с сокращением численности или штата организации работодатель не обязан предлагать увольняемым работникам должности, которые заняты сотрудниками, находящимися, например, в отпуске по беременности и родам. Такие должности не являются вакантными (свободными). На период отпуска по беременности и родам, а также ежемесячного отпуска по уходу за ребенком за сотрудником сохраняется место работы (должность).</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Согласно ч. 1 ст. 180 ТК РФ при проведении мероприятий по сокращению численности или штата работников организации работодатель обязан предложить работнику другую имеющуюся работу (вакантную должность) в соответствии с частью третьей статьи 81 ТК РФ.</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В соответствии с ч. 3 ст. 81 ТК РФ увольнение по основанию, предусмотренному пунктом 2 (сокращения численности или штата работников организации, индивидуального предпринимателя) или 3 части первой статьи 81 ТК РФ,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Согласно ч. 1 ст. 255 ТК РФ женщинам по их заявлению и на основании выданного в установленном порядке листка нетрудоспособности предоставляются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w:t>
      </w:r>
      <w:r w:rsidRPr="00B45803">
        <w:rPr>
          <w:rFonts w:ascii="Times New Roman" w:eastAsia="Times New Roman" w:hAnsi="Times New Roman" w:cs="Times New Roman"/>
          <w:color w:val="2E2D2D"/>
          <w:sz w:val="28"/>
          <w:szCs w:val="28"/>
          <w:lang w:eastAsia="ru-RU"/>
        </w:rPr>
        <w:lastRenderedPageBreak/>
        <w:t>календарных дней после родов с выплатой пособия по государственному социальному страхованию в установлен ном федеральными законами размере.</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В соответствии с ч. 4 ст. 256 ТК РФ на период отпуска по уходу за ребенком за работником сохраняется место работы (должность).</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Хранение копий личных документов работника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Вопрос:</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Можно ли хранить копии документов работника (копия паспорта, СНИЛС, трудовой книжки) в его личном деле?</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Ответ:</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Нормами действующего законодательства порядок ведения личного дела работника не установлен. По нашему мнению, работодатель вправе хранить копии документов работника (копия паспорта, СНИЛС, трудовой книжки) в его личном деле при условии получения от работника согласия на хранение и обработку персональных данных.</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Ч. 1 ст. 23 Конституции РФ закрепляет право каждого на неприкосновенность частной жизни, личную и семейную тайну, защиту своей чести и доброго имени. Согласно ч. 1 ст. 24 сбор, хранение, использование и распространение информации о частной жизни лица без его согласия не допускаются.</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В соответствии с п. 1 ст. 3 Федерального закона от 27.07.2006 № 152-ФЗ «О персональных данных» под персональными данными понимается любая информация, относящаяся к прямо или косвенно </w:t>
      </w:r>
      <w:proofErr w:type="gramStart"/>
      <w:r w:rsidRPr="00B45803">
        <w:rPr>
          <w:rFonts w:ascii="Times New Roman" w:eastAsia="Times New Roman" w:hAnsi="Times New Roman" w:cs="Times New Roman"/>
          <w:color w:val="2E2D2D"/>
          <w:sz w:val="28"/>
          <w:szCs w:val="28"/>
          <w:lang w:eastAsia="ru-RU"/>
        </w:rPr>
        <w:t>определенному</w:t>
      </w:r>
      <w:proofErr w:type="gramEnd"/>
      <w:r w:rsidRPr="00B45803">
        <w:rPr>
          <w:rFonts w:ascii="Times New Roman" w:eastAsia="Times New Roman" w:hAnsi="Times New Roman" w:cs="Times New Roman"/>
          <w:color w:val="2E2D2D"/>
          <w:sz w:val="28"/>
          <w:szCs w:val="28"/>
          <w:lang w:eastAsia="ru-RU"/>
        </w:rPr>
        <w:t xml:space="preserve"> или определяемому физическому лицу (субъекту персональных данных).</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Правила защиты персональных данных работника установлены главой 14 ТК РФ.</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Ст. 86 ТК РФ устанавливает, что обработка персональных данных работника может осуществляться исключительно в следующих целях:</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обеспечение соблюдения законов и иных нормативных правовых актов;</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содействие работникам в трудоустройстве;</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получение образования и продвижение по службе;</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обеспечение личной безопасности работников;</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контроль количества и качества выполняемой работы и обеспечения сохранности имущества.</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Как работа по совместительству становится работой по основному месту работы</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Вопрос:</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Работник уволился с основного места работы, и теперь работа по совместительству стала основным местом работы. Как правильно внести запись в трудовую книжку в этой ситуации?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Ответ:</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Порядок заполнения трудовых книжек в такой ситуации законодательством не установлен.</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 xml:space="preserve">По нашему мнению, в данном случае следует в трудовой книжке работника после записи об увольнении с основного места работы в виде заголовка указать полное и (при наличии) сокращенное наименование организации, а </w:t>
      </w:r>
      <w:r w:rsidRPr="00B45803">
        <w:rPr>
          <w:rFonts w:ascii="Times New Roman" w:eastAsia="Times New Roman" w:hAnsi="Times New Roman" w:cs="Times New Roman"/>
          <w:color w:val="2E2D2D"/>
          <w:sz w:val="28"/>
          <w:szCs w:val="28"/>
          <w:lang w:eastAsia="ru-RU"/>
        </w:rPr>
        <w:lastRenderedPageBreak/>
        <w:t>затем внести запись о приеме работника на работу со дня начала работы у конкретного работодателя со ссылкой на соответствующий приказ (распоряжение) и с указанием периода работы в качестве совместителя.</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Согласно п. 3.1 Инструкции по заполнению трудовых книжек, утвержденной Постановлением Минтруда РФ от 10.10.2003 N 69, в графе 3 раздела "Сведения о работе" трудовой книжки в виде заголовка указывается полное наименование организации, а также сокращенное наименование организации (при его наличии).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Под этим заголовком в графе 1 ставится порядковый номер вносимой записи, в графе 2 указывается дата приема на работу.</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В графе 3 делается запись о принятии или назначении в структурное подразделение организации с указанием его конкретного наименования (если условие о работе в конкретном структурном подразделении включено в трудовой договор в качестве существенного), наименования должности (работы), специальности, профессии с указанием квалификации, а в графу 4 заносятся дата и номер приказа (распоряжения) или иного решения работодателя, согласно которому работник принят на работу. Записи о наименовании должности (работы), специальности, профессии с указанием квалификации производятся, как правило, в соответствии со штатным расписанием организации. В случае, если в соответствии с федеральными законами с выполнением работ по определенным должностям, специальностям или профессиям связано предоставление льгот либо наличие ограничений, то наименование этих должностей, специальностей или профессий и квалификационные требования к ним должны соответствовать наименованиям и требованиям, предусмотренным соответствующими квалификационными справочниками.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Инициатива работника на повышение квалификации</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Вопрос:</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Работник написал заявление на прохождение повышения квалификации с частичным отрывом от производства. Должен ли работодатель издать приказ о прохождении повышения квалификации и как в таком случае оформить табель?</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Ответ:</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Трудовым законодательством урегулирован случай повышения квалификации только с отрывом от производства либо без отрыва. При направлении работодателем работника на повышение квалификации с отрывом от работы за работником сохраняются место работы (должность) и средняя заработная плата по основному месту работы. В табеле учета рабочего времени можно в этом случае указать код ПК (07), если работодатель пользуется унифицированной формой табеля. Обязательность оформления письменного приказа в случае повышения квалификации работника не предусмотрена трудовым законодательством (закон говорит о направлении), данный вопрос решается работодателем самостоятельно.</w:t>
      </w:r>
    </w:p>
    <w:p w:rsidR="00B45803" w:rsidRPr="00B45803" w:rsidRDefault="00B45803" w:rsidP="00B45803">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lastRenderedPageBreak/>
        <w:t>В соответствии с ч. 1 ст. 196 Трудового кодекса РФ необходимость подготовки работников (профессиональное образование и профессиональное обучение) и дополнительного профессионального образования, а также направления работников на прохождение независимой оценки квалификации для собственных нужд определяет работодатель.</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На основании ст. 197 ТК РФ работники имеют право на подготовку и дополнительное профессиональное образование (а также на прохождение независимой оценки квалификации), которое реализуется путем заключения договора между работником и работодателем.</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2E2D2D"/>
          <w:sz w:val="28"/>
          <w:szCs w:val="28"/>
          <w:lang w:eastAsia="ru-RU"/>
        </w:rPr>
        <w:t>Согласно ст. 187 ТК РФ при направлении работодателем работника на профессиональное обучение или дополнительное профессиональное образование, на прохождение независимой оценки квалификации на соответствие положениям профессионального стандарта или квалификационным требованиям, установленным федеральными законами и иными нормативными правовыми актами Российской Федерации (далее ‒ независимая оценка квалификации), с отрывом от работы за ним сохраняются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на прохождение независимой оценки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B45803" w:rsidRPr="00B45803" w:rsidRDefault="00B45803" w:rsidP="00B45803">
      <w:pPr>
        <w:shd w:val="clear" w:color="auto" w:fill="FFFFFF"/>
        <w:spacing w:after="0" w:line="240" w:lineRule="auto"/>
        <w:ind w:firstLine="708"/>
        <w:jc w:val="both"/>
        <w:textAlignment w:val="baseline"/>
        <w:rPr>
          <w:rFonts w:ascii="Times New Roman" w:eastAsia="Times New Roman" w:hAnsi="Times New Roman" w:cs="Times New Roman"/>
          <w:color w:val="333333"/>
          <w:sz w:val="28"/>
          <w:szCs w:val="28"/>
          <w:lang w:eastAsia="ru-RU"/>
        </w:rPr>
      </w:pPr>
      <w:bookmarkStart w:id="1" w:name="_GoBack"/>
      <w:bookmarkEnd w:id="1"/>
      <w:r w:rsidRPr="00B45803">
        <w:rPr>
          <w:rFonts w:ascii="Times New Roman" w:eastAsia="Times New Roman" w:hAnsi="Times New Roman" w:cs="Times New Roman"/>
          <w:color w:val="2E2D2D"/>
          <w:sz w:val="28"/>
          <w:szCs w:val="28"/>
          <w:lang w:eastAsia="ru-RU"/>
        </w:rPr>
        <w:t>При направлении работодателем работника на прохождение независимой оценки квалификации оплата прохождения такой оценки осуществляется за счет средств работодателя.</w:t>
      </w:r>
    </w:p>
    <w:p w:rsidR="00B45803" w:rsidRPr="00B45803" w:rsidRDefault="00B45803" w:rsidP="00B45803">
      <w:pPr>
        <w:shd w:val="clear" w:color="auto" w:fill="FFFFFF"/>
        <w:spacing w:after="450" w:line="240" w:lineRule="auto"/>
        <w:jc w:val="both"/>
        <w:rPr>
          <w:rFonts w:ascii="Times New Roman" w:eastAsia="Times New Roman" w:hAnsi="Times New Roman" w:cs="Times New Roman"/>
          <w:color w:val="333333"/>
          <w:sz w:val="28"/>
          <w:szCs w:val="28"/>
          <w:lang w:eastAsia="ru-RU"/>
        </w:rPr>
      </w:pPr>
      <w:r w:rsidRPr="00B45803">
        <w:rPr>
          <w:rFonts w:ascii="Times New Roman" w:eastAsia="Times New Roman" w:hAnsi="Times New Roman" w:cs="Times New Roman"/>
          <w:color w:val="333333"/>
          <w:sz w:val="28"/>
          <w:szCs w:val="28"/>
          <w:lang w:eastAsia="ru-RU"/>
        </w:rPr>
        <w:t> </w:t>
      </w:r>
    </w:p>
    <w:p w:rsidR="0037603B" w:rsidRPr="00B45803" w:rsidRDefault="0037603B">
      <w:pPr>
        <w:rPr>
          <w:rFonts w:ascii="Times New Roman" w:hAnsi="Times New Roman" w:cs="Times New Roman"/>
          <w:sz w:val="28"/>
          <w:szCs w:val="28"/>
        </w:rPr>
      </w:pPr>
    </w:p>
    <w:sectPr w:rsidR="0037603B" w:rsidRPr="00B458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89E"/>
    <w:rsid w:val="0037603B"/>
    <w:rsid w:val="00B45803"/>
    <w:rsid w:val="00C34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553D50-A1CE-42EA-8C4F-043D5DDA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458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5803"/>
    <w:rPr>
      <w:rFonts w:ascii="Times New Roman" w:eastAsia="Times New Roman" w:hAnsi="Times New Roman" w:cs="Times New Roman"/>
      <w:b/>
      <w:bCs/>
      <w:kern w:val="36"/>
      <w:sz w:val="48"/>
      <w:szCs w:val="48"/>
      <w:lang w:eastAsia="ru-RU"/>
    </w:rPr>
  </w:style>
  <w:style w:type="character" w:customStyle="1" w:styleId="date">
    <w:name w:val="date"/>
    <w:basedOn w:val="a0"/>
    <w:rsid w:val="00B45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76263">
      <w:bodyDiv w:val="1"/>
      <w:marLeft w:val="0"/>
      <w:marRight w:val="0"/>
      <w:marTop w:val="0"/>
      <w:marBottom w:val="0"/>
      <w:divBdr>
        <w:top w:val="none" w:sz="0" w:space="0" w:color="auto"/>
        <w:left w:val="none" w:sz="0" w:space="0" w:color="auto"/>
        <w:bottom w:val="none" w:sz="0" w:space="0" w:color="auto"/>
        <w:right w:val="none" w:sz="0" w:space="0" w:color="auto"/>
      </w:divBdr>
      <w:divsChild>
        <w:div w:id="1749113272">
          <w:marLeft w:val="0"/>
          <w:marRight w:val="0"/>
          <w:marTop w:val="0"/>
          <w:marBottom w:val="0"/>
          <w:divBdr>
            <w:top w:val="none" w:sz="0" w:space="0" w:color="auto"/>
            <w:left w:val="none" w:sz="0" w:space="0" w:color="auto"/>
            <w:bottom w:val="none" w:sz="0" w:space="0" w:color="auto"/>
            <w:right w:val="none" w:sz="0" w:space="0" w:color="auto"/>
          </w:divBdr>
          <w:divsChild>
            <w:div w:id="99398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3359</Words>
  <Characters>19147</Characters>
  <Application>Microsoft Office Word</Application>
  <DocSecurity>0</DocSecurity>
  <Lines>159</Lines>
  <Paragraphs>44</Paragraphs>
  <ScaleCrop>false</ScaleCrop>
  <Company/>
  <LinksUpToDate>false</LinksUpToDate>
  <CharactersWithSpaces>22462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2018-04-23T12:28:00Z</dcterms:created>
  <dcterms:modified xsi:type="dcterms:W3CDTF">2018-04-23T12:33:00Z</dcterms:modified>
</cp:coreProperties>
</file>